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47DDDF8A" w14:textId="67974FAD" w:rsidR="00CD25E0" w:rsidRPr="00CD25E0" w:rsidRDefault="00CD25E0" w:rsidP="00F155B8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trzy dokumentacje projektowe odpowiadające swoim rodzajem projektom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134078D6" w14:textId="6CCE0266" w:rsidR="00CD25E0" w:rsidRPr="00F155B8" w:rsidRDefault="00CD25E0" w:rsidP="00F155B8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F155B8">
        <w:rPr>
          <w:rFonts w:cstheme="minorHAnsi"/>
          <w:szCs w:val="18"/>
          <w:lang w:eastAsia="pl-PL"/>
        </w:rPr>
        <w:t xml:space="preserve">zgodnie z formularzem stanowiącym </w:t>
      </w:r>
      <w:r w:rsidRPr="00F155B8">
        <w:rPr>
          <w:rFonts w:cstheme="minorHAnsi"/>
          <w:b/>
          <w:szCs w:val="18"/>
          <w:lang w:eastAsia="pl-PL"/>
        </w:rPr>
        <w:t>Załącznik nr 8 do SWZ</w:t>
      </w:r>
      <w:r w:rsidRPr="00F155B8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bookmarkStart w:id="6" w:name="_Hlk216417989"/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bookmarkEnd w:id="6"/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BD50B49" w14:textId="77777777" w:rsidR="00F155B8" w:rsidRPr="00F155B8" w:rsidRDefault="00F155B8" w:rsidP="00F155B8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F155B8">
        <w:rPr>
          <w:rFonts w:cstheme="minorHAnsi"/>
          <w:bCs/>
          <w:snapToGrid w:val="0"/>
          <w:szCs w:val="18"/>
          <w:lang w:eastAsia="pl-PL"/>
        </w:rPr>
        <w:t xml:space="preserve">Zamawiający nie stawia szczególnych warunków w tym zakresie  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5DFFA0D7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155B8">
            <w:rPr>
              <w:rFonts w:asciiTheme="majorHAnsi" w:hAnsiTheme="majorHAnsi"/>
              <w:color w:val="000000" w:themeColor="text1"/>
              <w:sz w:val="14"/>
              <w:szCs w:val="18"/>
            </w:rPr>
            <w:t>479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84F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0EF2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155B8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POST/DYS/OLD/GZ/04479/2025                        </dmsv2SWPP2ObjectNumber>
    <dmsv2SWPP2SumMD5 xmlns="http://schemas.microsoft.com/sharepoint/v3">79023ec238556536239a98382af2fa2e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23982045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JEUP5JKVCYQC-1133723987-7069</_dlc_DocId>
    <_dlc_DocIdUrl xmlns="a19cb1c7-c5c7-46d4-85ae-d83685407bba">
      <Url>https://swpp2.dms.gkpge.pl/sites/41/_layouts/15/DocIdRedir.aspx?ID=JEUP5JKVCYQC-1133723987-7069</Url>
      <Description>JEUP5JKVCYQC-1133723987-7069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5EC1BF5-A2F1-446F-BA07-C7465E138C2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058B14C-2A2D-4382-9DC3-362AE803B2A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135</TotalTime>
  <Pages>6</Pages>
  <Words>3379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33</cp:revision>
  <cp:lastPrinted>2024-07-15T11:21:00Z</cp:lastPrinted>
  <dcterms:created xsi:type="dcterms:W3CDTF">2025-01-15T13:15:00Z</dcterms:created>
  <dcterms:modified xsi:type="dcterms:W3CDTF">2025-12-12T06:46:00Z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c01246b6-2498-42d1-b435-ebfe4669437d</vt:lpwstr>
  </property>
</Properties>
</file>